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762E" w14:textId="77777777" w:rsidR="00B71205" w:rsidRDefault="00A46DB8" w:rsidP="001E1727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525A39A2" wp14:editId="79FFD939">
            <wp:extent cx="2400935" cy="723143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99" cy="73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2D9C5" w14:textId="1D573C86" w:rsidR="0081237C" w:rsidRPr="009A4B9B" w:rsidRDefault="0081237C" w:rsidP="001E1727">
      <w:pPr>
        <w:rPr>
          <w:color w:val="C00000"/>
        </w:rPr>
      </w:pPr>
      <w:r w:rsidRPr="0081237C">
        <w:t>Bezeichnungen sind geschlechtsneutral zu verstehen und gelten für alle Geschlechter gleichermaßen.</w:t>
      </w:r>
      <w:r w:rsidR="009A4B9B">
        <w:t xml:space="preserve"> </w:t>
      </w:r>
      <w:r w:rsidR="009A4B9B" w:rsidRPr="009A4B9B">
        <w:rPr>
          <w:color w:val="C00000"/>
        </w:rPr>
        <w:t>Falls einzelne Bestimmungen innerhalb des Bundesligabetriebes nicht eingehalten werden, ist der Bundesliga</w:t>
      </w:r>
      <w:r w:rsidR="00576DB9">
        <w:rPr>
          <w:color w:val="C00000"/>
        </w:rPr>
        <w:t>-A</w:t>
      </w:r>
      <w:r w:rsidR="009A4B9B" w:rsidRPr="009A4B9B">
        <w:rPr>
          <w:color w:val="C00000"/>
        </w:rPr>
        <w:t>usschuss berechtigt Sanktionen (Geldstrafen, Disqualifikation vom Bundesligaspielbetrieb</w:t>
      </w:r>
      <w:r w:rsidR="00576DB9">
        <w:rPr>
          <w:color w:val="C00000"/>
        </w:rPr>
        <w:t xml:space="preserve">, </w:t>
      </w:r>
      <w:r w:rsidR="009A4B9B" w:rsidRPr="009A4B9B">
        <w:rPr>
          <w:color w:val="C00000"/>
        </w:rPr>
        <w:t>...) zu beschließen.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005E5" w14:paraId="5D52966A" w14:textId="77777777" w:rsidTr="00C677E9">
        <w:tc>
          <w:tcPr>
            <w:tcW w:w="9493" w:type="dxa"/>
            <w:shd w:val="clear" w:color="auto" w:fill="E7E6E6" w:themeFill="background2"/>
          </w:tcPr>
          <w:p w14:paraId="6BCAC774" w14:textId="445F8EED" w:rsidR="00C005E5" w:rsidRPr="00C677E9" w:rsidRDefault="00C005E5" w:rsidP="001E1727">
            <w:pPr>
              <w:rPr>
                <w:b/>
                <w:sz w:val="36"/>
                <w:szCs w:val="36"/>
              </w:rPr>
            </w:pPr>
            <w:r w:rsidRPr="004A5C34">
              <w:rPr>
                <w:b/>
                <w:sz w:val="36"/>
                <w:szCs w:val="36"/>
              </w:rPr>
              <w:t>COVID-</w:t>
            </w:r>
            <w:r w:rsidRPr="00C677E9">
              <w:rPr>
                <w:b/>
                <w:sz w:val="36"/>
                <w:szCs w:val="36"/>
              </w:rPr>
              <w:t xml:space="preserve">19 BESTIMMUNGEN FÜR DIE </w:t>
            </w:r>
            <w:r w:rsidR="004A5C34">
              <w:rPr>
                <w:b/>
                <w:sz w:val="36"/>
                <w:szCs w:val="36"/>
              </w:rPr>
              <w:t>ÖTTV-</w:t>
            </w:r>
            <w:r w:rsidRPr="00C677E9">
              <w:rPr>
                <w:b/>
                <w:sz w:val="36"/>
                <w:szCs w:val="36"/>
              </w:rPr>
              <w:t>BUNDESLIGA</w:t>
            </w:r>
          </w:p>
        </w:tc>
      </w:tr>
      <w:tr w:rsidR="00C005E5" w14:paraId="14A795BE" w14:textId="77777777" w:rsidTr="00C677E9">
        <w:tc>
          <w:tcPr>
            <w:tcW w:w="9493" w:type="dxa"/>
          </w:tcPr>
          <w:p w14:paraId="7996C541" w14:textId="77777777" w:rsidR="00C005E5" w:rsidRPr="00C677E9" w:rsidRDefault="00C005E5" w:rsidP="001E1727">
            <w:pPr>
              <w:rPr>
                <w:b/>
                <w:sz w:val="26"/>
                <w:szCs w:val="26"/>
              </w:rPr>
            </w:pPr>
            <w:r w:rsidRPr="00C677E9">
              <w:rPr>
                <w:b/>
                <w:sz w:val="26"/>
                <w:szCs w:val="26"/>
              </w:rPr>
              <w:t>Allgemeine Bestimmungen</w:t>
            </w:r>
          </w:p>
        </w:tc>
      </w:tr>
      <w:tr w:rsidR="00C005E5" w14:paraId="22377340" w14:textId="77777777" w:rsidTr="00C677E9">
        <w:tc>
          <w:tcPr>
            <w:tcW w:w="9493" w:type="dxa"/>
          </w:tcPr>
          <w:p w14:paraId="7C284E52" w14:textId="36B9A624" w:rsidR="00C005E5" w:rsidRPr="00B84EED" w:rsidRDefault="00C005E5" w:rsidP="00B84EED">
            <w:r w:rsidRPr="00B84EED">
              <w:t>Es gelten die aktuellen rechtlichen Vorgaben der Bundesregierung</w:t>
            </w:r>
            <w:r w:rsidR="00587933" w:rsidRPr="00B84EED">
              <w:t xml:space="preserve"> https://www.bmkoes.gv.at/Themen/Corona.html</w:t>
            </w:r>
            <w:r w:rsidR="00576DB9">
              <w:t>.</w:t>
            </w:r>
          </w:p>
        </w:tc>
      </w:tr>
      <w:tr w:rsidR="00C005E5" w14:paraId="3446E4AE" w14:textId="77777777" w:rsidTr="00C677E9">
        <w:tc>
          <w:tcPr>
            <w:tcW w:w="9493" w:type="dxa"/>
          </w:tcPr>
          <w:p w14:paraId="444D1134" w14:textId="69E21AFA" w:rsidR="00C005E5" w:rsidRPr="00462702" w:rsidRDefault="00C005E5" w:rsidP="001E1727">
            <w:r w:rsidRPr="00C677E9">
              <w:t>Jeder Spieler, Schiedsrichter, Funktionär, Medienvertreter und Zuschauer nimmt auf eigene Gefahr an Wettkämpfen bzw. der Veranstaltung teil.</w:t>
            </w:r>
          </w:p>
        </w:tc>
      </w:tr>
      <w:tr w:rsidR="00C005E5" w14:paraId="2A15F657" w14:textId="77777777" w:rsidTr="00C677E9">
        <w:tc>
          <w:tcPr>
            <w:tcW w:w="9493" w:type="dxa"/>
          </w:tcPr>
          <w:p w14:paraId="7902EE03" w14:textId="461D3D4E" w:rsidR="00C005E5" w:rsidRPr="00462702" w:rsidRDefault="00C005E5" w:rsidP="007644C5">
            <w:pPr>
              <w:rPr>
                <w:color w:val="538135" w:themeColor="accent6" w:themeShade="BF"/>
              </w:rPr>
            </w:pPr>
            <w:r>
              <w:t>Bei der An- und Abreise gelten die allgemeinen Kontaktbeschränkungen und Abstandsgebote.</w:t>
            </w:r>
          </w:p>
        </w:tc>
      </w:tr>
      <w:tr w:rsidR="00C005E5" w14:paraId="7D5A21DA" w14:textId="77777777" w:rsidTr="00C677E9">
        <w:tc>
          <w:tcPr>
            <w:tcW w:w="9493" w:type="dxa"/>
          </w:tcPr>
          <w:p w14:paraId="1EBFB2D1" w14:textId="33054D4F" w:rsidR="00C005E5" w:rsidRDefault="00C005E5">
            <w:r>
              <w:t>Die Anzahl der gleichzeitig in der Halle zugelassenen Personen richtet sich nach den jeweils aktuell gültigen rechtlichen Vorgaben</w:t>
            </w:r>
            <w:r w:rsidR="00626790" w:rsidRPr="00B84EED">
              <w:t xml:space="preserve">. Ob ein </w:t>
            </w:r>
            <w:r w:rsidR="007905A2" w:rsidRPr="00B84EED">
              <w:t>Mund-</w:t>
            </w:r>
            <w:r w:rsidR="00626790" w:rsidRPr="00B84EED">
              <w:t>Nasen-Schutz zu tragen ist, obliegt dem Veranstalter bzw</w:t>
            </w:r>
            <w:r w:rsidR="007905A2" w:rsidRPr="00B84EED">
              <w:t>.</w:t>
            </w:r>
            <w:r w:rsidR="00626790" w:rsidRPr="00B84EED">
              <w:t xml:space="preserve"> den Nutzungsvorschriften der schulischen Turnsäle oder Hallen (Bsp: Tragen des </w:t>
            </w:r>
            <w:r w:rsidR="007905A2" w:rsidRPr="00B84EED">
              <w:t>M</w:t>
            </w:r>
            <w:r w:rsidR="00626790" w:rsidRPr="00B84EED">
              <w:t>NS bis zum Turnsaal, in der Garderobe,</w:t>
            </w:r>
            <w:r w:rsidR="007905A2" w:rsidRPr="00B84EED">
              <w:t xml:space="preserve"> </w:t>
            </w:r>
            <w:r w:rsidR="00626790" w:rsidRPr="00B84EED">
              <w:t>…).</w:t>
            </w:r>
          </w:p>
        </w:tc>
      </w:tr>
      <w:tr w:rsidR="00C005E5" w14:paraId="237580E5" w14:textId="77777777" w:rsidTr="00C677E9">
        <w:tc>
          <w:tcPr>
            <w:tcW w:w="9493" w:type="dxa"/>
          </w:tcPr>
          <w:p w14:paraId="53C3A4BC" w14:textId="2298F0AA" w:rsidR="00C005E5" w:rsidRDefault="00C005E5" w:rsidP="007644C5">
            <w:bookmarkStart w:id="1" w:name="_Hlk50356974"/>
            <w:r w:rsidRPr="00C677E9">
              <w:t xml:space="preserve">Jeder Spieler, Schiedsrichter, Funktionär, Medienvertreter und Zuschauer hat sich </w:t>
            </w:r>
            <w:r w:rsidR="00B71205">
              <w:t xml:space="preserve">verpflichtend </w:t>
            </w:r>
            <w:r w:rsidRPr="00C677E9">
              <w:t>in eine Liste mit seinen Kontaktdaten (E-Mail, Telefon) einzutragen</w:t>
            </w:r>
            <w:r w:rsidR="004A5C34">
              <w:t>.</w:t>
            </w:r>
            <w:bookmarkEnd w:id="1"/>
          </w:p>
        </w:tc>
      </w:tr>
      <w:tr w:rsidR="00C005E5" w14:paraId="6E9D518E" w14:textId="77777777" w:rsidTr="00C677E9">
        <w:tc>
          <w:tcPr>
            <w:tcW w:w="9493" w:type="dxa"/>
          </w:tcPr>
          <w:p w14:paraId="05D1A255" w14:textId="56EBC712" w:rsidR="00C005E5" w:rsidRDefault="00C005E5" w:rsidP="007644C5">
            <w:r>
              <w:t>Sofern räumlich umsetzbar, wird das Einbahnstraßenprinzip mit entsprechenden Kennzeichnungen empfohlen, um gegenfließende Bewegungen zu vermeiden.</w:t>
            </w:r>
          </w:p>
        </w:tc>
      </w:tr>
      <w:tr w:rsidR="0081237C" w14:paraId="33D9922C" w14:textId="77777777" w:rsidTr="00C005E5">
        <w:tc>
          <w:tcPr>
            <w:tcW w:w="9493" w:type="dxa"/>
          </w:tcPr>
          <w:p w14:paraId="4F16AC37" w14:textId="77777777" w:rsidR="0081237C" w:rsidRDefault="0081237C" w:rsidP="007644C5"/>
        </w:tc>
      </w:tr>
      <w:tr w:rsidR="00C005E5" w14:paraId="385D269F" w14:textId="77777777" w:rsidTr="00C677E9">
        <w:tc>
          <w:tcPr>
            <w:tcW w:w="9493" w:type="dxa"/>
          </w:tcPr>
          <w:p w14:paraId="244EA8F4" w14:textId="736D6694" w:rsidR="00C005E5" w:rsidRPr="00C677E9" w:rsidRDefault="00C005E5" w:rsidP="007644C5">
            <w:pPr>
              <w:rPr>
                <w:b/>
                <w:sz w:val="26"/>
                <w:szCs w:val="26"/>
              </w:rPr>
            </w:pPr>
            <w:r w:rsidRPr="00C677E9">
              <w:rPr>
                <w:b/>
                <w:sz w:val="26"/>
                <w:szCs w:val="26"/>
              </w:rPr>
              <w:t>Bestimmungen für die Presse</w:t>
            </w:r>
          </w:p>
        </w:tc>
      </w:tr>
      <w:tr w:rsidR="00C005E5" w14:paraId="2CB0C751" w14:textId="77777777" w:rsidTr="00C677E9">
        <w:tc>
          <w:tcPr>
            <w:tcW w:w="9493" w:type="dxa"/>
          </w:tcPr>
          <w:p w14:paraId="4CAB4709" w14:textId="03C6AE0B" w:rsidR="00C005E5" w:rsidRDefault="00C005E5" w:rsidP="007644C5">
            <w:r w:rsidRPr="000B3435">
              <w:t>Die Presse muss die allgemein geltenden COVID-</w:t>
            </w:r>
            <w:r>
              <w:t>19</w:t>
            </w:r>
            <w:r w:rsidR="00576DB9">
              <w:t xml:space="preserve"> </w:t>
            </w:r>
            <w:r>
              <w:t xml:space="preserve">Bestimmungen befolgen. </w:t>
            </w:r>
            <w:r w:rsidRPr="000B3435">
              <w:t>Fotos und Interviews dürfen nur unter Einhaltung der vorgesehenen Mindestabstände gemacht werden</w:t>
            </w:r>
            <w:r w:rsidR="007905A2">
              <w:t>.</w:t>
            </w:r>
          </w:p>
        </w:tc>
      </w:tr>
      <w:tr w:rsidR="0081237C" w14:paraId="3A704A3E" w14:textId="77777777" w:rsidTr="00C005E5">
        <w:tc>
          <w:tcPr>
            <w:tcW w:w="9493" w:type="dxa"/>
          </w:tcPr>
          <w:p w14:paraId="176C8D2A" w14:textId="77777777" w:rsidR="0081237C" w:rsidRPr="000B3435" w:rsidRDefault="0081237C" w:rsidP="007644C5"/>
        </w:tc>
      </w:tr>
      <w:tr w:rsidR="00C005E5" w14:paraId="3E08C054" w14:textId="77777777" w:rsidTr="00C677E9">
        <w:tc>
          <w:tcPr>
            <w:tcW w:w="9493" w:type="dxa"/>
          </w:tcPr>
          <w:p w14:paraId="60F07A79" w14:textId="3C7DEE55" w:rsidR="00C005E5" w:rsidRPr="00C677E9" w:rsidRDefault="00C005E5" w:rsidP="007644C5">
            <w:pPr>
              <w:rPr>
                <w:b/>
                <w:sz w:val="26"/>
                <w:szCs w:val="26"/>
              </w:rPr>
            </w:pPr>
            <w:r w:rsidRPr="00C677E9">
              <w:rPr>
                <w:b/>
                <w:sz w:val="26"/>
                <w:szCs w:val="26"/>
              </w:rPr>
              <w:t>Bestimmungen für das Spiel</w:t>
            </w:r>
          </w:p>
        </w:tc>
      </w:tr>
      <w:tr w:rsidR="00C005E5" w14:paraId="122FB757" w14:textId="77777777" w:rsidTr="00C677E9">
        <w:tc>
          <w:tcPr>
            <w:tcW w:w="9493" w:type="dxa"/>
          </w:tcPr>
          <w:p w14:paraId="1E0C7F77" w14:textId="14C96A99" w:rsidR="00C005E5" w:rsidRPr="009D2876" w:rsidRDefault="00C005E5" w:rsidP="007644C5">
            <w:pPr>
              <w:rPr>
                <w:b/>
                <w:sz w:val="28"/>
                <w:szCs w:val="28"/>
              </w:rPr>
            </w:pPr>
            <w:r>
              <w:t>Es erfolgt keine Ballauswahl vor dem Spiel. Der Schiedsrichter wählt drei Bälle aus.</w:t>
            </w:r>
          </w:p>
        </w:tc>
      </w:tr>
      <w:tr w:rsidR="00C005E5" w14:paraId="194A72D3" w14:textId="77777777" w:rsidTr="00C677E9">
        <w:tc>
          <w:tcPr>
            <w:tcW w:w="9493" w:type="dxa"/>
          </w:tcPr>
          <w:p w14:paraId="2755A03A" w14:textId="69D201FE" w:rsidR="00C005E5" w:rsidRPr="00C677E9" w:rsidRDefault="00C005E5" w:rsidP="007644C5">
            <w:pPr>
              <w:rPr>
                <w:bCs/>
              </w:rPr>
            </w:pPr>
            <w:r w:rsidRPr="00C677E9">
              <w:rPr>
                <w:bCs/>
              </w:rPr>
              <w:t>Keine Seitenwechsel nach den einzelnen Sätzen</w:t>
            </w:r>
            <w:r w:rsidR="007905A2">
              <w:rPr>
                <w:bCs/>
              </w:rPr>
              <w:t>.</w:t>
            </w:r>
          </w:p>
        </w:tc>
      </w:tr>
      <w:tr w:rsidR="00C005E5" w14:paraId="580AB98D" w14:textId="77777777" w:rsidTr="00C677E9">
        <w:tc>
          <w:tcPr>
            <w:tcW w:w="9493" w:type="dxa"/>
          </w:tcPr>
          <w:p w14:paraId="3B86075D" w14:textId="25E238FF" w:rsidR="00C005E5" w:rsidRPr="009E5D38" w:rsidRDefault="00C005E5" w:rsidP="007644C5">
            <w:pPr>
              <w:rPr>
                <w:bCs/>
              </w:rPr>
            </w:pPr>
            <w:r w:rsidRPr="00C677E9">
              <w:rPr>
                <w:bCs/>
              </w:rPr>
              <w:t xml:space="preserve">Für jedes neue Spiel wird die Seite </w:t>
            </w:r>
            <w:r w:rsidR="00AB693F" w:rsidRPr="00C677E9">
              <w:rPr>
                <w:bCs/>
              </w:rPr>
              <w:t>mittels Münzwurfes</w:t>
            </w:r>
            <w:r w:rsidRPr="00C677E9">
              <w:rPr>
                <w:bCs/>
              </w:rPr>
              <w:t xml:space="preserve"> ausgelost.</w:t>
            </w:r>
          </w:p>
        </w:tc>
      </w:tr>
      <w:tr w:rsidR="00C005E5" w14:paraId="7196923E" w14:textId="77777777" w:rsidTr="00C677E9">
        <w:tc>
          <w:tcPr>
            <w:tcW w:w="9493" w:type="dxa"/>
          </w:tcPr>
          <w:p w14:paraId="366A452A" w14:textId="68511C98" w:rsidR="00C005E5" w:rsidRPr="009E5D38" w:rsidRDefault="00C005E5" w:rsidP="007644C5">
            <w:pPr>
              <w:rPr>
                <w:bCs/>
                <w:color w:val="C00000"/>
              </w:rPr>
            </w:pPr>
            <w:r>
              <w:t>Der Münzwurf sollte vom Schiedsrichter an seinem Tisch ausgeführt werden, wobei die Spieler an ihren Tischseiten verbleiben.</w:t>
            </w:r>
          </w:p>
        </w:tc>
      </w:tr>
      <w:tr w:rsidR="00C005E5" w14:paraId="76B9C67E" w14:textId="77777777" w:rsidTr="00C677E9">
        <w:tc>
          <w:tcPr>
            <w:tcW w:w="9493" w:type="dxa"/>
          </w:tcPr>
          <w:p w14:paraId="14B8DC0B" w14:textId="15C86E86" w:rsidR="00C005E5" w:rsidRDefault="00C005E5" w:rsidP="007644C5">
            <w:r>
              <w:t>Das Händeschütteln vor und nach dem Match ist zu unterlassen.</w:t>
            </w:r>
          </w:p>
        </w:tc>
      </w:tr>
      <w:tr w:rsidR="00C005E5" w14:paraId="31E0FB6D" w14:textId="77777777" w:rsidTr="00C677E9">
        <w:tc>
          <w:tcPr>
            <w:tcW w:w="9493" w:type="dxa"/>
          </w:tcPr>
          <w:p w14:paraId="70C73DFD" w14:textId="6AAF44EA" w:rsidR="00C005E5" w:rsidRPr="009D2876" w:rsidRDefault="00C005E5" w:rsidP="007644C5">
            <w:pPr>
              <w:rPr>
                <w:b/>
                <w:sz w:val="28"/>
                <w:szCs w:val="28"/>
              </w:rPr>
            </w:pPr>
            <w:r>
              <w:t>Der Ball wird vom Schiedsrichter, bzw. dem Veranstalter den Spielern bei Spielbeginn übergeben, nachdem er zuvor vom Heimteam/Veranstalter gereinigt worden ist.</w:t>
            </w:r>
          </w:p>
        </w:tc>
      </w:tr>
      <w:tr w:rsidR="00C005E5" w14:paraId="7ED41E38" w14:textId="77777777" w:rsidTr="00C677E9">
        <w:tc>
          <w:tcPr>
            <w:tcW w:w="9493" w:type="dxa"/>
          </w:tcPr>
          <w:p w14:paraId="1F1A4A49" w14:textId="462CF6FD" w:rsidR="00C005E5" w:rsidRPr="009D2876" w:rsidRDefault="00C005E5" w:rsidP="007644C5">
            <w:pPr>
              <w:rPr>
                <w:b/>
                <w:sz w:val="28"/>
                <w:szCs w:val="28"/>
              </w:rPr>
            </w:pPr>
            <w:r>
              <w:t>Bei Verwendung zusätzlicher Materialien (Zählgeräte, Handtuchboxen, …) von mehreren Personen sind die Geräte vor jedem Nutzerwechsel zu reinigen.</w:t>
            </w:r>
          </w:p>
        </w:tc>
      </w:tr>
      <w:tr w:rsidR="00C005E5" w14:paraId="016ECB82" w14:textId="77777777" w:rsidTr="00C677E9">
        <w:tc>
          <w:tcPr>
            <w:tcW w:w="9493" w:type="dxa"/>
          </w:tcPr>
          <w:p w14:paraId="1C7D2446" w14:textId="618BB215" w:rsidR="00C005E5" w:rsidRDefault="00C005E5" w:rsidP="00B84EED">
            <w:r>
              <w:t xml:space="preserve">Handtuchboxen sind verpflichtend einzusetzen. </w:t>
            </w:r>
          </w:p>
        </w:tc>
      </w:tr>
      <w:tr w:rsidR="00C005E5" w14:paraId="125BE436" w14:textId="77777777" w:rsidTr="00C677E9">
        <w:tc>
          <w:tcPr>
            <w:tcW w:w="9493" w:type="dxa"/>
          </w:tcPr>
          <w:p w14:paraId="1D9BC15A" w14:textId="4B360CCC" w:rsidR="00C005E5" w:rsidRDefault="00C005E5" w:rsidP="007644C5">
            <w:r>
              <w:t>Die Handtuchregel kann in Einzelfällen vom Schiedsrichter gelockert werden (z.B. übermäßiges Schwitzen, …).</w:t>
            </w:r>
          </w:p>
        </w:tc>
      </w:tr>
      <w:tr w:rsidR="00C005E5" w14:paraId="7AD6EACE" w14:textId="77777777" w:rsidTr="00C677E9">
        <w:tc>
          <w:tcPr>
            <w:tcW w:w="9493" w:type="dxa"/>
          </w:tcPr>
          <w:p w14:paraId="454300BF" w14:textId="7E4BD322" w:rsidR="00C005E5" w:rsidRDefault="00C005E5" w:rsidP="007644C5">
            <w:r>
              <w:t>Das Handtuch sollte nicht dazu benutzt werden, Oberflächen (</w:t>
            </w:r>
            <w:r w:rsidR="0007775F">
              <w:t xml:space="preserve">wie Tisch und </w:t>
            </w:r>
            <w:r w:rsidR="00AB693F">
              <w:t>Boden, …</w:t>
            </w:r>
            <w:r>
              <w:t>) abzuwischen, sondern nur die eigenen Hände und das Gesicht.</w:t>
            </w:r>
          </w:p>
        </w:tc>
      </w:tr>
      <w:tr w:rsidR="00576DB9" w:rsidRPr="00576DB9" w14:paraId="464D6680" w14:textId="77777777" w:rsidTr="00C677E9">
        <w:tc>
          <w:tcPr>
            <w:tcW w:w="9493" w:type="dxa"/>
          </w:tcPr>
          <w:p w14:paraId="2F9D72E4" w14:textId="2A3ACCAD" w:rsidR="0007775F" w:rsidRPr="00576DB9" w:rsidRDefault="0007775F" w:rsidP="004B769F">
            <w:r w:rsidRPr="00576DB9">
              <w:t xml:space="preserve">Jeder Spieler hat für die Reinigung der Tischplatte auf seiner Hälfte zu sorgen. </w:t>
            </w:r>
            <w:r w:rsidR="004B769F" w:rsidRPr="00576DB9">
              <w:t xml:space="preserve">Für diesen Fall muss er </w:t>
            </w:r>
            <w:r w:rsidR="00576DB9">
              <w:t>vom</w:t>
            </w:r>
            <w:r w:rsidR="004B769F" w:rsidRPr="00576DB9">
              <w:t xml:space="preserve"> zuständigen S</w:t>
            </w:r>
            <w:r w:rsidR="00576DB9">
              <w:t>chiedsrichter</w:t>
            </w:r>
            <w:r w:rsidR="004B769F" w:rsidRPr="00576DB9">
              <w:t xml:space="preserve"> die Erlaubnis </w:t>
            </w:r>
            <w:r w:rsidR="00576DB9">
              <w:t>einholen</w:t>
            </w:r>
            <w:r w:rsidR="004B769F" w:rsidRPr="00576DB9">
              <w:t xml:space="preserve">. </w:t>
            </w:r>
            <w:r w:rsidRPr="00576DB9">
              <w:t xml:space="preserve">Ein </w:t>
            </w:r>
            <w:r w:rsidR="004B769F" w:rsidRPr="00576DB9">
              <w:t xml:space="preserve">desinfizierendes nasses </w:t>
            </w:r>
            <w:r w:rsidRPr="00576DB9">
              <w:t>Reinigungstuch wird vom Heimverein für diesen Zweck zur Verfügung gestellt.</w:t>
            </w:r>
          </w:p>
        </w:tc>
      </w:tr>
      <w:tr w:rsidR="00C005E5" w14:paraId="5B02AC3A" w14:textId="77777777" w:rsidTr="00C677E9">
        <w:tc>
          <w:tcPr>
            <w:tcW w:w="9493" w:type="dxa"/>
          </w:tcPr>
          <w:p w14:paraId="552C9171" w14:textId="56C64C5C" w:rsidR="00C005E5" w:rsidRDefault="00C005E5" w:rsidP="007644C5">
            <w:r>
              <w:t>Das Abwischen der Handoberfläche am Tischtennistisch ist nicht erlaubt.</w:t>
            </w:r>
          </w:p>
        </w:tc>
      </w:tr>
      <w:tr w:rsidR="00C005E5" w14:paraId="0F42089E" w14:textId="77777777" w:rsidTr="00C677E9">
        <w:tc>
          <w:tcPr>
            <w:tcW w:w="9493" w:type="dxa"/>
          </w:tcPr>
          <w:p w14:paraId="0BC9C187" w14:textId="2CCAC671" w:rsidR="00C005E5" w:rsidRDefault="00C005E5" w:rsidP="007644C5">
            <w:pPr>
              <w:rPr>
                <w:b/>
                <w:sz w:val="28"/>
                <w:szCs w:val="28"/>
              </w:rPr>
            </w:pPr>
            <w:r>
              <w:lastRenderedPageBreak/>
              <w:t>Das Time-Out-Schild/die Time-Out Karte soll nicht auf den Tisch gestellt werden; Time-Out sollte nur per Handzeichen und durch das Aufstellen eines kleinen Time-Out-Schildes/der Time-Out Karte am Tisch des Schiedsrichters signalisiert werden.</w:t>
            </w:r>
          </w:p>
        </w:tc>
      </w:tr>
      <w:tr w:rsidR="00C005E5" w14:paraId="4D83C431" w14:textId="77777777" w:rsidTr="00C677E9">
        <w:tc>
          <w:tcPr>
            <w:tcW w:w="9493" w:type="dxa"/>
          </w:tcPr>
          <w:p w14:paraId="73515862" w14:textId="303CFB4C" w:rsidR="004C02E5" w:rsidRDefault="00C005E5" w:rsidP="007644C5">
            <w:pPr>
              <w:rPr>
                <w:b/>
                <w:sz w:val="28"/>
                <w:szCs w:val="28"/>
              </w:rPr>
            </w:pPr>
            <w:r w:rsidRPr="00C677E9">
              <w:t>Nach jedem Spiel sind die Tischoberflächen, Tischkanten und der Ball vom Veranstalter zu reinigen.</w:t>
            </w:r>
          </w:p>
        </w:tc>
      </w:tr>
      <w:tr w:rsidR="00C005E5" w14:paraId="5154152F" w14:textId="77777777" w:rsidTr="00C677E9">
        <w:tc>
          <w:tcPr>
            <w:tcW w:w="9493" w:type="dxa"/>
          </w:tcPr>
          <w:p w14:paraId="3B832EB6" w14:textId="58FD63BC" w:rsidR="00C005E5" w:rsidRDefault="00C005E5" w:rsidP="007644C5">
            <w:r>
              <w:t xml:space="preserve">Der Schiedsrichter sollte sich nach jeder Reinigung/jedem Spiel die Hände </w:t>
            </w:r>
            <w:r w:rsidR="00AB693F">
              <w:t>desinfizieren</w:t>
            </w:r>
            <w:r>
              <w:t>/waschen.</w:t>
            </w:r>
          </w:p>
        </w:tc>
      </w:tr>
      <w:tr w:rsidR="00C005E5" w14:paraId="071C5A3E" w14:textId="77777777" w:rsidTr="00C677E9">
        <w:tc>
          <w:tcPr>
            <w:tcW w:w="9493" w:type="dxa"/>
          </w:tcPr>
          <w:p w14:paraId="6824AE70" w14:textId="51FE064A" w:rsidR="00C005E5" w:rsidRDefault="00C005E5" w:rsidP="007644C5">
            <w:r>
              <w:t>Spieler sollten sich vor und nach jedem Spiel die Hände waschen/desinfizieren.</w:t>
            </w:r>
          </w:p>
        </w:tc>
      </w:tr>
      <w:tr w:rsidR="0081237C" w14:paraId="147E945C" w14:textId="77777777" w:rsidTr="00C005E5">
        <w:tc>
          <w:tcPr>
            <w:tcW w:w="9493" w:type="dxa"/>
          </w:tcPr>
          <w:p w14:paraId="384A467A" w14:textId="77777777" w:rsidR="0081237C" w:rsidRDefault="0081237C" w:rsidP="007644C5"/>
        </w:tc>
      </w:tr>
      <w:tr w:rsidR="00C005E5" w14:paraId="3444DA0B" w14:textId="77777777" w:rsidTr="00C677E9">
        <w:tc>
          <w:tcPr>
            <w:tcW w:w="9493" w:type="dxa"/>
          </w:tcPr>
          <w:p w14:paraId="074E8062" w14:textId="531C0D00" w:rsidR="00C005E5" w:rsidRPr="00C677E9" w:rsidRDefault="00C005E5" w:rsidP="007644C5">
            <w:pPr>
              <w:rPr>
                <w:sz w:val="26"/>
                <w:szCs w:val="26"/>
              </w:rPr>
            </w:pPr>
            <w:r w:rsidRPr="00C677E9">
              <w:rPr>
                <w:b/>
                <w:sz w:val="26"/>
                <w:szCs w:val="26"/>
              </w:rPr>
              <w:t>Bestimmungen für den Heimverein/Veranstalter</w:t>
            </w:r>
          </w:p>
        </w:tc>
      </w:tr>
      <w:tr w:rsidR="004A5C34" w14:paraId="180D6475" w14:textId="77777777" w:rsidTr="00C005E5">
        <w:tc>
          <w:tcPr>
            <w:tcW w:w="9493" w:type="dxa"/>
          </w:tcPr>
          <w:p w14:paraId="29AE1FF9" w14:textId="04370B54" w:rsidR="004A5C34" w:rsidRPr="00C677E9" w:rsidRDefault="004A5C34" w:rsidP="007644C5">
            <w:pPr>
              <w:rPr>
                <w:bCs/>
              </w:rPr>
            </w:pPr>
            <w:r w:rsidRPr="00C677E9">
              <w:rPr>
                <w:bCs/>
              </w:rPr>
              <w:t xml:space="preserve">Jeder Heimverein/Veranstalter hat eine Kontaktdatenliste </w:t>
            </w:r>
            <w:r w:rsidR="00AB693F" w:rsidRPr="00C677E9">
              <w:rPr>
                <w:bCs/>
              </w:rPr>
              <w:t>aufzulegen (</w:t>
            </w:r>
            <w:r w:rsidRPr="00C677E9">
              <w:rPr>
                <w:bCs/>
              </w:rPr>
              <w:t>siehe Anhang) und sie in weiterer Folge zu archivieren.</w:t>
            </w:r>
            <w:r w:rsidR="007905A2">
              <w:rPr>
                <w:bCs/>
              </w:rPr>
              <w:t xml:space="preserve"> Die Datenschutzgrundverordnung ist zu berücksichtigen.</w:t>
            </w:r>
          </w:p>
        </w:tc>
      </w:tr>
      <w:tr w:rsidR="00B14C5E" w14:paraId="131E127B" w14:textId="77777777" w:rsidTr="00C677E9">
        <w:tc>
          <w:tcPr>
            <w:tcW w:w="9493" w:type="dxa"/>
            <w:shd w:val="clear" w:color="auto" w:fill="FFFFFF" w:themeFill="background1"/>
          </w:tcPr>
          <w:p w14:paraId="0279BB96" w14:textId="6C4A8AC5" w:rsidR="00B14C5E" w:rsidRPr="00C677E9" w:rsidRDefault="00B14C5E" w:rsidP="00321071">
            <w:r>
              <w:t>Jeder Verein hat in der XTTV Datenverwaltung im Menüpunkt Funktionäre einen „COVID-19 Beauftragten“ anzugeben. Dieser wird in den Datenblättern ausgegeben und hat u.a. dem gegnerischen Verein als auch den Schiedsrichtern für Rückfragen zu den COVID-19 Maßnahmen zur Verfügung zu stehen.</w:t>
            </w:r>
          </w:p>
        </w:tc>
      </w:tr>
      <w:tr w:rsidR="00C005E5" w14:paraId="5CC3F65D" w14:textId="77777777" w:rsidTr="00C677E9">
        <w:tc>
          <w:tcPr>
            <w:tcW w:w="9493" w:type="dxa"/>
            <w:shd w:val="clear" w:color="auto" w:fill="FFFFFF" w:themeFill="background1"/>
          </w:tcPr>
          <w:p w14:paraId="4FF6E20E" w14:textId="75CC1EE0" w:rsidR="00C005E5" w:rsidRPr="00C677E9" w:rsidRDefault="00C005E5" w:rsidP="00321071">
            <w:r w:rsidRPr="00C677E9">
              <w:t>Desinfektionsmittel sind vom Veranstalter zur Verfügung zu stellen.</w:t>
            </w:r>
          </w:p>
          <w:p w14:paraId="4D4B21D4" w14:textId="7A2B9C5D" w:rsidR="00C005E5" w:rsidRPr="00C677E9" w:rsidRDefault="00C005E5" w:rsidP="00321071">
            <w:r w:rsidRPr="00C677E9">
              <w:t xml:space="preserve">Je Schiedsrichter-Tisch </w:t>
            </w:r>
            <w:r w:rsidR="00587933" w:rsidRPr="00B84EED">
              <w:t>bzw</w:t>
            </w:r>
            <w:r w:rsidR="00576DB9">
              <w:t>.</w:t>
            </w:r>
            <w:r w:rsidR="00587933" w:rsidRPr="00B84EED">
              <w:t xml:space="preserve"> Spielbox </w:t>
            </w:r>
            <w:r w:rsidRPr="00C677E9">
              <w:t>ein Desinfektionsmittel für den Schiedsrichter.</w:t>
            </w:r>
          </w:p>
          <w:p w14:paraId="506DB2E2" w14:textId="692C22B9" w:rsidR="00C005E5" w:rsidRPr="00321071" w:rsidRDefault="00C005E5" w:rsidP="00321071">
            <w:pPr>
              <w:rPr>
                <w:highlight w:val="yellow"/>
              </w:rPr>
            </w:pPr>
            <w:r w:rsidRPr="00C677E9">
              <w:t>Desinfektionsmittel für Vereine und Zuschauer ist zusätzlich zur Verfügung zu stellen.</w:t>
            </w:r>
          </w:p>
        </w:tc>
      </w:tr>
      <w:tr w:rsidR="00C005E5" w:rsidRPr="00C677E9" w14:paraId="7DB7EE5F" w14:textId="77777777" w:rsidTr="00C677E9">
        <w:tc>
          <w:tcPr>
            <w:tcW w:w="9493" w:type="dxa"/>
            <w:shd w:val="clear" w:color="auto" w:fill="FFFFFF" w:themeFill="background1"/>
          </w:tcPr>
          <w:p w14:paraId="6C0FDECE" w14:textId="5D3CF8E2" w:rsidR="00C005E5" w:rsidRPr="00C677E9" w:rsidRDefault="00C005E5" w:rsidP="00321071">
            <w:r w:rsidRPr="00C677E9">
              <w:t>Desinfektion/Reinigung muss durch Veranstalter erfolgen.</w:t>
            </w:r>
          </w:p>
          <w:p w14:paraId="23A1BC17" w14:textId="6630B88C" w:rsidR="00C005E5" w:rsidRPr="00C677E9" w:rsidDel="007644C5" w:rsidRDefault="00C005E5" w:rsidP="00321071">
            <w:r w:rsidRPr="00C677E9">
              <w:t>Spielmaterialreinigung (Tisch/Bälle, Handtuchhalter, ...) vor und zwischen den Spielen durch Veranstalter.</w:t>
            </w:r>
          </w:p>
        </w:tc>
      </w:tr>
      <w:tr w:rsidR="00C005E5" w14:paraId="238EBD2F" w14:textId="77777777" w:rsidTr="00C677E9">
        <w:tc>
          <w:tcPr>
            <w:tcW w:w="9493" w:type="dxa"/>
          </w:tcPr>
          <w:p w14:paraId="4E57C84E" w14:textId="5B91D74D" w:rsidR="00C005E5" w:rsidRDefault="00C005E5" w:rsidP="007644C5">
            <w:r>
              <w:t>Die Einhaltung des Mindestabstands von 1 Meter gilt für Nebenräume und Tribünen.</w:t>
            </w:r>
          </w:p>
        </w:tc>
      </w:tr>
      <w:tr w:rsidR="00C005E5" w14:paraId="31B3CFF3" w14:textId="77777777" w:rsidTr="00C677E9">
        <w:tc>
          <w:tcPr>
            <w:tcW w:w="9493" w:type="dxa"/>
          </w:tcPr>
          <w:p w14:paraId="4249BCCD" w14:textId="4059397A" w:rsidR="00C005E5" w:rsidRDefault="00C005E5" w:rsidP="007644C5">
            <w:r>
              <w:t>Bei Individualwettkämpfen müssen die Turnierleitung sowie die Oberschiedsrichter und Schiedsrichter genügend Raum haben</w:t>
            </w:r>
            <w:r w:rsidR="00B14C5E">
              <w:t>,</w:t>
            </w:r>
            <w:r>
              <w:t xml:space="preserve"> um untereinander den Sicherheitsabstand von 1 Meter einhalten zu können und um mit genügend Sicherheitsabstand mit den Spielern in Kontakt treten zu können.</w:t>
            </w:r>
          </w:p>
        </w:tc>
      </w:tr>
      <w:tr w:rsidR="00C005E5" w14:paraId="0A571EAB" w14:textId="77777777" w:rsidTr="00C677E9">
        <w:tc>
          <w:tcPr>
            <w:tcW w:w="9493" w:type="dxa"/>
          </w:tcPr>
          <w:p w14:paraId="5A3D77A4" w14:textId="77777777" w:rsidR="00C005E5" w:rsidRDefault="00C005E5" w:rsidP="007644C5">
            <w:r>
              <w:t>Beim Einsatz eines Mikrofons erhält dieses eine Schutzhülle, die bei jedem Wechsel des Nutzers ausgetauscht wird. Das Mikrofon ist zusätzlich bei jedem Wechsel des Nutzers zu reinigen.</w:t>
            </w:r>
          </w:p>
        </w:tc>
      </w:tr>
      <w:tr w:rsidR="00C005E5" w14:paraId="1E5F3469" w14:textId="77777777" w:rsidTr="00C677E9">
        <w:tc>
          <w:tcPr>
            <w:tcW w:w="9493" w:type="dxa"/>
          </w:tcPr>
          <w:p w14:paraId="4B40309B" w14:textId="04FD851C" w:rsidR="00C005E5" w:rsidRDefault="00C005E5" w:rsidP="007644C5"/>
        </w:tc>
      </w:tr>
      <w:tr w:rsidR="00C005E5" w14:paraId="61FDD429" w14:textId="77777777" w:rsidTr="00C677E9">
        <w:tc>
          <w:tcPr>
            <w:tcW w:w="9493" w:type="dxa"/>
          </w:tcPr>
          <w:p w14:paraId="456A6681" w14:textId="30E49711" w:rsidR="00C005E5" w:rsidRPr="00C677E9" w:rsidRDefault="00C005E5" w:rsidP="007644C5">
            <w:pPr>
              <w:rPr>
                <w:b/>
                <w:sz w:val="26"/>
                <w:szCs w:val="26"/>
              </w:rPr>
            </w:pPr>
            <w:r w:rsidRPr="00C677E9">
              <w:rPr>
                <w:b/>
                <w:sz w:val="26"/>
                <w:szCs w:val="26"/>
              </w:rPr>
              <w:t>Maßnahmen bei einem COVID-19-Verdachtsfall für den Heimverein/Veranstalter</w:t>
            </w:r>
          </w:p>
        </w:tc>
      </w:tr>
      <w:tr w:rsidR="00C005E5" w14:paraId="6B16EC79" w14:textId="77777777" w:rsidTr="00C677E9">
        <w:tc>
          <w:tcPr>
            <w:tcW w:w="9493" w:type="dxa"/>
          </w:tcPr>
          <w:p w14:paraId="5189306E" w14:textId="785FD869" w:rsidR="00C005E5" w:rsidRPr="00A20E15" w:rsidRDefault="00C005E5" w:rsidP="007644C5">
            <w:pPr>
              <w:rPr>
                <w:b/>
              </w:rPr>
            </w:pPr>
            <w:r>
              <w:t>Der Verein/Organisator hat umgehend die Gesundheitsberatung unter 1450 anzurufen, deren Vorgaben Folge zu leisten sowie die örtlich zuständige Gesundheitsbehörde (Bezirkshauptmannschaft, Magistrat, Amtsarzt/Amtsärztin) zu informieren.</w:t>
            </w:r>
          </w:p>
        </w:tc>
      </w:tr>
      <w:tr w:rsidR="00C005E5" w14:paraId="3368A4C6" w14:textId="77777777" w:rsidTr="00C677E9">
        <w:tc>
          <w:tcPr>
            <w:tcW w:w="9493" w:type="dxa"/>
          </w:tcPr>
          <w:p w14:paraId="4C006A7C" w14:textId="38DED69F" w:rsidR="00C005E5" w:rsidRPr="00A20E15" w:rsidRDefault="00C005E5" w:rsidP="007644C5">
            <w:pPr>
              <w:rPr>
                <w:b/>
              </w:rPr>
            </w:pPr>
            <w:r>
              <w:t>Weitere Schritte werden von den örtlich zuständigen Gesundheitsbehörden/Amtsarzt/Amtsärztin verfügt. Testungen und ähnliche Maßnahmen erfolgen auf Anweisung der Gesundheitsbehörden.</w:t>
            </w:r>
          </w:p>
        </w:tc>
      </w:tr>
      <w:tr w:rsidR="00C005E5" w14:paraId="4394A643" w14:textId="77777777" w:rsidTr="00C677E9">
        <w:tc>
          <w:tcPr>
            <w:tcW w:w="9493" w:type="dxa"/>
          </w:tcPr>
          <w:p w14:paraId="64CE5A39" w14:textId="57DC6F59" w:rsidR="00C005E5" w:rsidRPr="00A20E15" w:rsidRDefault="00C005E5" w:rsidP="007644C5">
            <w:pPr>
              <w:rPr>
                <w:b/>
              </w:rPr>
            </w:pPr>
            <w:r>
              <w:t>Der Verein/Organisator hat die Umsetzung der Maßnahmen zu unterstützen.</w:t>
            </w:r>
          </w:p>
        </w:tc>
      </w:tr>
      <w:tr w:rsidR="00C005E5" w14:paraId="48EF01F2" w14:textId="77777777" w:rsidTr="00C677E9">
        <w:tc>
          <w:tcPr>
            <w:tcW w:w="9493" w:type="dxa"/>
          </w:tcPr>
          <w:p w14:paraId="48F990F3" w14:textId="307B67ED" w:rsidR="00C005E5" w:rsidRDefault="00C005E5" w:rsidP="007644C5">
            <w:r>
              <w:t>Dokumentation durch den Verein/Organisator, welche Personen Kontakt zur betroffenen Person hatten sowie Art des Kontaktes (z. B. mit Hilfe von Teilnehmerlisten/Anwesenheitslisten).</w:t>
            </w:r>
          </w:p>
        </w:tc>
      </w:tr>
      <w:tr w:rsidR="00C005E5" w14:paraId="6225F591" w14:textId="77777777" w:rsidTr="00C677E9">
        <w:tc>
          <w:tcPr>
            <w:tcW w:w="9493" w:type="dxa"/>
          </w:tcPr>
          <w:p w14:paraId="77F87253" w14:textId="6A94D18A" w:rsidR="00C005E5" w:rsidRDefault="00C005E5" w:rsidP="007644C5">
            <w:r>
              <w:t>Sollte ein Erkrankungsfall bestätigt werden, erfolgen weitere Maßnahmen (z.B. Desinfektion der Sportstätte) entsprechend den Anweisungen der örtlich zuständigen Gesundheitsbehörde.</w:t>
            </w:r>
          </w:p>
        </w:tc>
      </w:tr>
      <w:tr w:rsidR="00C005E5" w14:paraId="7BA9697C" w14:textId="77777777" w:rsidTr="00C677E9">
        <w:tc>
          <w:tcPr>
            <w:tcW w:w="9493" w:type="dxa"/>
          </w:tcPr>
          <w:p w14:paraId="14FD9EB5" w14:textId="0EACDBB3" w:rsidR="00C005E5" w:rsidRDefault="00C005E5" w:rsidP="007644C5">
            <w:r>
              <w:t>Es wird empfohlen die Kontaktdaten der örtlich zuständigen Gesundheitsbehörde bereits im Vorfeld einzuholen.</w:t>
            </w:r>
          </w:p>
        </w:tc>
      </w:tr>
      <w:tr w:rsidR="00C005E5" w14:paraId="20B7D19F" w14:textId="77777777" w:rsidTr="00C677E9">
        <w:tc>
          <w:tcPr>
            <w:tcW w:w="9493" w:type="dxa"/>
          </w:tcPr>
          <w:p w14:paraId="2A409C44" w14:textId="0CE83860" w:rsidR="00C005E5" w:rsidRDefault="00C005E5" w:rsidP="007644C5">
            <w:r>
              <w:t>Jeder ist dafür selbst verantwortlich, sich über die aktuellen Handlungsempfehlungen am Laufenden zu halten.</w:t>
            </w:r>
          </w:p>
        </w:tc>
      </w:tr>
      <w:tr w:rsidR="00C005E5" w14:paraId="2EDDBBC2" w14:textId="77777777" w:rsidTr="00C677E9">
        <w:tc>
          <w:tcPr>
            <w:tcW w:w="9493" w:type="dxa"/>
          </w:tcPr>
          <w:p w14:paraId="094AC4CE" w14:textId="54AD86B2" w:rsidR="00C005E5" w:rsidRDefault="00C005E5" w:rsidP="007644C5"/>
        </w:tc>
      </w:tr>
    </w:tbl>
    <w:p w14:paraId="65910B0A" w14:textId="77777777" w:rsidR="0007775F" w:rsidRDefault="0007775F" w:rsidP="001E1727"/>
    <w:p w14:paraId="3CB4D35E" w14:textId="01604704" w:rsidR="001E1727" w:rsidRDefault="0081237C" w:rsidP="001E1727">
      <w:r>
        <w:t>Mit sportlichen Grüßen</w:t>
      </w:r>
    </w:p>
    <w:p w14:paraId="41D3C846" w14:textId="5075045C" w:rsidR="0081237C" w:rsidRDefault="00B84EED" w:rsidP="001E1727">
      <w:r>
        <w:rPr>
          <w:noProof/>
          <w:lang w:eastAsia="de-AT"/>
        </w:rPr>
        <w:drawing>
          <wp:inline distT="0" distB="0" distL="0" distR="0" wp14:anchorId="34350AE6" wp14:editId="59B328A3">
            <wp:extent cx="1551138" cy="6604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38" cy="69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6621E" w14:textId="08616D62" w:rsidR="0081237C" w:rsidRDefault="0081237C" w:rsidP="001E1727">
      <w:r>
        <w:t>Mag. Frank Mair</w:t>
      </w:r>
      <w:r w:rsidR="0007775F">
        <w:t xml:space="preserve">, </w:t>
      </w:r>
      <w:r>
        <w:t>ÖTTV Bundesliga-Vorsitzende</w:t>
      </w:r>
      <w:r w:rsidR="0007775F">
        <w:t>r</w:t>
      </w:r>
    </w:p>
    <w:sectPr w:rsidR="00812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A58" w14:textId="77777777" w:rsidR="000B0BFB" w:rsidRDefault="000B0BFB" w:rsidP="00A46DB8">
      <w:pPr>
        <w:spacing w:after="0" w:line="240" w:lineRule="auto"/>
      </w:pPr>
      <w:r>
        <w:separator/>
      </w:r>
    </w:p>
  </w:endnote>
  <w:endnote w:type="continuationSeparator" w:id="0">
    <w:p w14:paraId="6ABB9435" w14:textId="77777777" w:rsidR="000B0BFB" w:rsidRDefault="000B0BFB" w:rsidP="00A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5153" w14:textId="77777777" w:rsidR="000B0BFB" w:rsidRDefault="000B0BFB" w:rsidP="00A46DB8">
      <w:pPr>
        <w:spacing w:after="0" w:line="240" w:lineRule="auto"/>
      </w:pPr>
      <w:r>
        <w:separator/>
      </w:r>
    </w:p>
  </w:footnote>
  <w:footnote w:type="continuationSeparator" w:id="0">
    <w:p w14:paraId="3185CE3B" w14:textId="77777777" w:rsidR="000B0BFB" w:rsidRDefault="000B0BFB" w:rsidP="00A4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27"/>
    <w:rsid w:val="0007775F"/>
    <w:rsid w:val="000B0BFB"/>
    <w:rsid w:val="000B3435"/>
    <w:rsid w:val="001E1727"/>
    <w:rsid w:val="001F6923"/>
    <w:rsid w:val="002146AC"/>
    <w:rsid w:val="0024469D"/>
    <w:rsid w:val="00321071"/>
    <w:rsid w:val="00322E34"/>
    <w:rsid w:val="00346288"/>
    <w:rsid w:val="00462702"/>
    <w:rsid w:val="004A5C34"/>
    <w:rsid w:val="004B0085"/>
    <w:rsid w:val="004B769F"/>
    <w:rsid w:val="004C02E5"/>
    <w:rsid w:val="0051276E"/>
    <w:rsid w:val="00523098"/>
    <w:rsid w:val="0053522B"/>
    <w:rsid w:val="00556FA6"/>
    <w:rsid w:val="00571EF6"/>
    <w:rsid w:val="00575FE3"/>
    <w:rsid w:val="00576DB9"/>
    <w:rsid w:val="00587933"/>
    <w:rsid w:val="00626790"/>
    <w:rsid w:val="007644C5"/>
    <w:rsid w:val="00772E66"/>
    <w:rsid w:val="007905A2"/>
    <w:rsid w:val="00806C88"/>
    <w:rsid w:val="0081237C"/>
    <w:rsid w:val="00954CA9"/>
    <w:rsid w:val="009A4B9B"/>
    <w:rsid w:val="009D2876"/>
    <w:rsid w:val="009E5D38"/>
    <w:rsid w:val="00A20E15"/>
    <w:rsid w:val="00A46DB8"/>
    <w:rsid w:val="00AB693F"/>
    <w:rsid w:val="00AF7BCA"/>
    <w:rsid w:val="00B14C5E"/>
    <w:rsid w:val="00B71205"/>
    <w:rsid w:val="00B84EED"/>
    <w:rsid w:val="00BA16B8"/>
    <w:rsid w:val="00C005E5"/>
    <w:rsid w:val="00C26EAB"/>
    <w:rsid w:val="00C4115D"/>
    <w:rsid w:val="00C677E9"/>
    <w:rsid w:val="00C95F9B"/>
    <w:rsid w:val="00DB5D07"/>
    <w:rsid w:val="00DF6A2F"/>
    <w:rsid w:val="00E16805"/>
    <w:rsid w:val="00E2675E"/>
    <w:rsid w:val="00E7662C"/>
    <w:rsid w:val="00E81D4F"/>
    <w:rsid w:val="00E903A0"/>
    <w:rsid w:val="00EC2D91"/>
    <w:rsid w:val="00EE1CCA"/>
    <w:rsid w:val="00F2321E"/>
    <w:rsid w:val="00FA7924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3E0F"/>
  <w15:chartTrackingRefBased/>
  <w15:docId w15:val="{4F510B19-31D1-47DE-B1BD-05B5F2B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F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8"/>
  </w:style>
  <w:style w:type="paragraph" w:styleId="Footer">
    <w:name w:val="footer"/>
    <w:basedOn w:val="Normal"/>
    <w:link w:val="FooterChar"/>
    <w:uiPriority w:val="99"/>
    <w:unhideWhenUsed/>
    <w:rsid w:val="00A46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8"/>
  </w:style>
  <w:style w:type="paragraph" w:styleId="Revision">
    <w:name w:val="Revision"/>
    <w:hidden/>
    <w:uiPriority w:val="99"/>
    <w:semiHidden/>
    <w:rsid w:val="004C0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TMW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shop1</dc:creator>
  <cp:keywords/>
  <dc:description/>
  <cp:lastModifiedBy>Sveta Kozyritskaya</cp:lastModifiedBy>
  <cp:revision>2</cp:revision>
  <dcterms:created xsi:type="dcterms:W3CDTF">2020-09-10T12:45:00Z</dcterms:created>
  <dcterms:modified xsi:type="dcterms:W3CDTF">2020-09-10T12:45:00Z</dcterms:modified>
</cp:coreProperties>
</file>